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02" w:rsidRDefault="00BD3C0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D3C02" w:rsidRDefault="00BD3C02">
      <w:pPr>
        <w:pStyle w:val="ConsPlusNormal"/>
        <w:jc w:val="both"/>
        <w:outlineLvl w:val="0"/>
      </w:pPr>
    </w:p>
    <w:p w:rsidR="00BD3C02" w:rsidRDefault="00BD3C02">
      <w:pPr>
        <w:pStyle w:val="ConsPlusNormal"/>
        <w:outlineLvl w:val="0"/>
      </w:pPr>
      <w:r>
        <w:t>Зарегистрировано в Минюсте России 9 сентября 2020 г. N 59721</w:t>
      </w:r>
    </w:p>
    <w:p w:rsidR="00BD3C02" w:rsidRDefault="00BD3C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Title"/>
        <w:jc w:val="center"/>
      </w:pPr>
      <w:r>
        <w:t>МИНИСТЕРСТВО НАУКИ И ВЫСШЕГО ОБРАЗОВАНИЯ</w:t>
      </w:r>
    </w:p>
    <w:p w:rsidR="00BD3C02" w:rsidRDefault="00BD3C02">
      <w:pPr>
        <w:pStyle w:val="ConsPlusTitle"/>
        <w:jc w:val="center"/>
      </w:pPr>
      <w:r>
        <w:t>РОССИЙСКОЙ ФЕДЕРАЦИИ</w:t>
      </w:r>
    </w:p>
    <w:p w:rsidR="00BD3C02" w:rsidRDefault="00BD3C02">
      <w:pPr>
        <w:pStyle w:val="ConsPlusTitle"/>
        <w:jc w:val="center"/>
      </w:pPr>
    </w:p>
    <w:p w:rsidR="00BD3C02" w:rsidRDefault="00BD3C02">
      <w:pPr>
        <w:pStyle w:val="ConsPlusTitle"/>
        <w:jc w:val="center"/>
      </w:pPr>
      <w:r>
        <w:t>ПРИКАЗ</w:t>
      </w:r>
    </w:p>
    <w:p w:rsidR="00BD3C02" w:rsidRDefault="00BD3C02">
      <w:pPr>
        <w:pStyle w:val="ConsPlusTitle"/>
        <w:jc w:val="center"/>
      </w:pPr>
      <w:r>
        <w:t>от 17 августа 2020 г. N 1045</w:t>
      </w:r>
    </w:p>
    <w:p w:rsidR="00BD3C02" w:rsidRDefault="00BD3C02">
      <w:pPr>
        <w:pStyle w:val="ConsPlusTitle"/>
        <w:jc w:val="center"/>
      </w:pPr>
    </w:p>
    <w:p w:rsidR="00BD3C02" w:rsidRDefault="00BD3C02">
      <w:pPr>
        <w:pStyle w:val="ConsPlusTitle"/>
        <w:jc w:val="center"/>
      </w:pPr>
      <w:r>
        <w:t>ОБ УТВЕРЖДЕНИИ</w:t>
      </w:r>
    </w:p>
    <w:p w:rsidR="00BD3C02" w:rsidRDefault="00BD3C0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D3C02" w:rsidRDefault="00BD3C02">
      <w:pPr>
        <w:pStyle w:val="ConsPlusTitle"/>
        <w:jc w:val="center"/>
      </w:pPr>
      <w:r>
        <w:t>ВЫСШЕГО ОБРАЗОВАНИЯ - МАГИСТРАТУРА ПО НАПРАВЛЕНИЮ</w:t>
      </w:r>
    </w:p>
    <w:p w:rsidR="00BD3C02" w:rsidRDefault="00BD3C02">
      <w:pPr>
        <w:pStyle w:val="ConsPlusTitle"/>
        <w:jc w:val="center"/>
      </w:pPr>
      <w:r>
        <w:t>ПОДГОТОВКИ 15.04.05 КОНСТРУКТОРСКО-ТЕХНОЛОГИЧЕСКОЕ</w:t>
      </w:r>
    </w:p>
    <w:p w:rsidR="00BD3C02" w:rsidRDefault="00BD3C02">
      <w:pPr>
        <w:pStyle w:val="ConsPlusTitle"/>
        <w:jc w:val="center"/>
      </w:pPr>
      <w:r>
        <w:t>ОБЕСПЕЧЕНИЕ МАШИНОСТРОИТЕЛЬНЫХ ПРОИЗВОДСТВ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15.04.05 Конструкторско-технологическое обеспечение машиностроительных производств (далее - стандарт).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15.04.05 Конструкторско-технологическое обеспечение машиностроительных производств (уровень магистратуры), утвержденным приказом Министерства образования и науки Российской Федерации от 21 ноября 2014 г. N 1485 (зарегистрирован Министерством юстиции Российской Федерации 17 декабря 2014 г., регистрационный N 35245),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jc w:val="right"/>
      </w:pPr>
      <w:r>
        <w:t>Врио Министра</w:t>
      </w:r>
    </w:p>
    <w:p w:rsidR="00BD3C02" w:rsidRDefault="00BD3C02">
      <w:pPr>
        <w:pStyle w:val="ConsPlusNormal"/>
        <w:jc w:val="right"/>
      </w:pPr>
      <w:r>
        <w:t>Д.В.АФАНАСЬЕВ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jc w:val="right"/>
        <w:outlineLvl w:val="0"/>
      </w:pPr>
      <w:r>
        <w:t>Приложение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jc w:val="right"/>
      </w:pPr>
      <w:r>
        <w:lastRenderedPageBreak/>
        <w:t>Утвержден</w:t>
      </w:r>
    </w:p>
    <w:p w:rsidR="00BD3C02" w:rsidRDefault="00BD3C02">
      <w:pPr>
        <w:pStyle w:val="ConsPlusNormal"/>
        <w:jc w:val="right"/>
      </w:pPr>
      <w:r>
        <w:t>приказом Министерства науки</w:t>
      </w:r>
    </w:p>
    <w:p w:rsidR="00BD3C02" w:rsidRDefault="00BD3C02">
      <w:pPr>
        <w:pStyle w:val="ConsPlusNormal"/>
        <w:jc w:val="right"/>
      </w:pPr>
      <w:r>
        <w:t>и высшего образования</w:t>
      </w:r>
    </w:p>
    <w:p w:rsidR="00BD3C02" w:rsidRDefault="00BD3C02">
      <w:pPr>
        <w:pStyle w:val="ConsPlusNormal"/>
        <w:jc w:val="right"/>
      </w:pPr>
      <w:r>
        <w:t>Российской Федерации</w:t>
      </w:r>
    </w:p>
    <w:p w:rsidR="00BD3C02" w:rsidRDefault="00BD3C02">
      <w:pPr>
        <w:pStyle w:val="ConsPlusNormal"/>
        <w:jc w:val="right"/>
      </w:pPr>
      <w:r>
        <w:t>от 17 августа 2020 г. N 1045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BD3C02" w:rsidRDefault="00BD3C02">
      <w:pPr>
        <w:pStyle w:val="ConsPlusTitle"/>
        <w:jc w:val="center"/>
      </w:pPr>
      <w:r>
        <w:t>ВЫСШЕГО ОБРАЗОВАНИЯ - МАГИСТРАТУРА ПО НАПРАВЛЕНИЮ</w:t>
      </w:r>
    </w:p>
    <w:p w:rsidR="00BD3C02" w:rsidRDefault="00BD3C02">
      <w:pPr>
        <w:pStyle w:val="ConsPlusTitle"/>
        <w:jc w:val="center"/>
      </w:pPr>
      <w:r>
        <w:t>ПОДГОТОВКИ 15.04.05 КОНСТРУКТОРСКО-ТЕХНОЛОГИЧЕСКОЕ</w:t>
      </w:r>
    </w:p>
    <w:p w:rsidR="00BD3C02" w:rsidRDefault="00BD3C02">
      <w:pPr>
        <w:pStyle w:val="ConsPlusTitle"/>
        <w:jc w:val="center"/>
      </w:pPr>
      <w:r>
        <w:t>ОБЕСПЕЧЕНИЕ МАШИНОСТРОИТЕЛЬНЫХ ПРОИЗВОДСТВ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Title"/>
        <w:jc w:val="center"/>
        <w:outlineLvl w:val="1"/>
      </w:pPr>
      <w:r>
        <w:t>I. Общие положения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</w:t>
      </w:r>
      <w:hyperlink r:id="rId8">
        <w:r>
          <w:rPr>
            <w:color w:val="0000FF"/>
          </w:rPr>
          <w:t>15.04.05</w:t>
        </w:r>
      </w:hyperlink>
      <w:r>
        <w:t xml:space="preserve"> Конструкторско-технологическое обеспечение машиностроительных производств (далее соответственно - программа магистратуры, направление подготовки).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ind w:firstLine="540"/>
        <w:jc w:val="both"/>
      </w:pPr>
      <w:bookmarkStart w:id="1" w:name="P56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BD3C02" w:rsidRDefault="00BD3C02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6">
        <w:r>
          <w:rPr>
            <w:color w:val="0000FF"/>
          </w:rPr>
          <w:t>пунктами 1.8</w:t>
        </w:r>
      </w:hyperlink>
      <w:r>
        <w:t xml:space="preserve"> и </w:t>
      </w:r>
      <w:hyperlink w:anchor="P60">
        <w:r>
          <w:rPr>
            <w:color w:val="0000FF"/>
          </w:rPr>
          <w:t>1.9</w:t>
        </w:r>
      </w:hyperlink>
      <w:r>
        <w:t xml:space="preserve"> ФГОС ВО: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BD3C02" w:rsidRDefault="00BD3C02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ind w:firstLine="540"/>
        <w:jc w:val="both"/>
      </w:pPr>
      <w:hyperlink r:id="rId11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среднего профессионального образования, высшего образования, дополнительных профессиональных программ; научно-исследовательских и проектно-конструкторских разработок);</w:t>
      </w:r>
    </w:p>
    <w:p w:rsidR="00BD3C02" w:rsidRDefault="00BD3C02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разработки и внедрения проектов промышленных процессов и производств; исследование и разработка проектных решений технологического комплекса механосборочного производства; разработки конструкторской, технологической, технической документации комплексов механосборочного производства; разработки и оптимизации производственных процессов в тяжелом машиностроении);</w:t>
      </w:r>
    </w:p>
    <w:p w:rsidR="00BD3C02" w:rsidRDefault="00BD3C02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разработки технологического обеспечения заготовительного производства на машиностроительных предприятиях; технологической подготовки производства деталей машиностроения; проектирования машиностроительных производств, их основного и вспомогательного оборудования, комплексов, инструментальной техники, технологической оснастки, средств проектирования, механизации, автоматизации и управления; разработки и проектирования складских и транспортных систем машиностроительных производств; разработки нормативно-технической и плановой документации, систем стандартизации и сертификации, средств и методов испытаний и контроля качества машиностроительной продукции; разработки и внедрения технологических процессов машиностроительных производств, средств их технологического, инструментального, метрологического, диагностического, информационного и управленческого обеспечения).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D3C02" w:rsidRDefault="00BD3C02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специальный.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BD3C02" w:rsidRDefault="00BD3C02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D3C02" w:rsidRDefault="00BD3C02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BD3C02" w:rsidRDefault="00BD3C02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jc w:val="right"/>
      </w:pPr>
      <w:r>
        <w:t>Таблица</w:t>
      </w:r>
    </w:p>
    <w:p w:rsidR="00BD3C02" w:rsidRDefault="00BD3C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258"/>
        <w:gridCol w:w="3572"/>
      </w:tblGrid>
      <w:tr w:rsidR="00BD3C02">
        <w:tc>
          <w:tcPr>
            <w:tcW w:w="5449" w:type="dxa"/>
            <w:gridSpan w:val="2"/>
          </w:tcPr>
          <w:p w:rsidR="00BD3C02" w:rsidRDefault="00BD3C02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72" w:type="dxa"/>
          </w:tcPr>
          <w:p w:rsidR="00BD3C02" w:rsidRDefault="00BD3C02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BD3C02">
        <w:tc>
          <w:tcPr>
            <w:tcW w:w="1191" w:type="dxa"/>
            <w:vAlign w:val="center"/>
          </w:tcPr>
          <w:p w:rsidR="00BD3C02" w:rsidRDefault="00BD3C02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258" w:type="dxa"/>
            <w:vAlign w:val="center"/>
          </w:tcPr>
          <w:p w:rsidR="00BD3C02" w:rsidRDefault="00BD3C0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BD3C02">
        <w:tc>
          <w:tcPr>
            <w:tcW w:w="1191" w:type="dxa"/>
            <w:vAlign w:val="center"/>
          </w:tcPr>
          <w:p w:rsidR="00BD3C02" w:rsidRDefault="00BD3C02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258" w:type="dxa"/>
            <w:vAlign w:val="center"/>
          </w:tcPr>
          <w:p w:rsidR="00BD3C02" w:rsidRDefault="00BD3C02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BD3C02">
        <w:tc>
          <w:tcPr>
            <w:tcW w:w="1191" w:type="dxa"/>
          </w:tcPr>
          <w:p w:rsidR="00BD3C02" w:rsidRDefault="00BD3C02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258" w:type="dxa"/>
            <w:vAlign w:val="bottom"/>
          </w:tcPr>
          <w:p w:rsidR="00BD3C02" w:rsidRDefault="00BD3C0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2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6 - 9</w:t>
            </w:r>
          </w:p>
        </w:tc>
      </w:tr>
      <w:tr w:rsidR="00BD3C02">
        <w:tc>
          <w:tcPr>
            <w:tcW w:w="5449" w:type="dxa"/>
            <w:gridSpan w:val="2"/>
            <w:vAlign w:val="center"/>
          </w:tcPr>
          <w:p w:rsidR="00BD3C02" w:rsidRDefault="00BD3C02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572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120</w:t>
            </w:r>
          </w:p>
        </w:tc>
      </w:tr>
    </w:tbl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преддипломная практика, в том числе научно-исследовательская работа.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2.4. Организация: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lastRenderedPageBreak/>
        <w:t>подготовка к процедуре защиты и защита выпускной квалификационной работы.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D3C02" w:rsidRDefault="00BD3C02">
      <w:pPr>
        <w:pStyle w:val="ConsPlusTitle"/>
        <w:jc w:val="center"/>
      </w:pPr>
      <w:r>
        <w:t>программы магистратуры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BD3C02" w:rsidRDefault="00BD3C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BD3C02">
        <w:tc>
          <w:tcPr>
            <w:tcW w:w="2827" w:type="dxa"/>
          </w:tcPr>
          <w:p w:rsidR="00BD3C02" w:rsidRDefault="00BD3C0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BD3C02" w:rsidRDefault="00BD3C0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D3C02">
        <w:tc>
          <w:tcPr>
            <w:tcW w:w="2827" w:type="dxa"/>
            <w:vAlign w:val="center"/>
          </w:tcPr>
          <w:p w:rsidR="00BD3C02" w:rsidRDefault="00BD3C0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BD3C02" w:rsidRDefault="00BD3C02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D3C02">
        <w:tc>
          <w:tcPr>
            <w:tcW w:w="2827" w:type="dxa"/>
            <w:vAlign w:val="center"/>
          </w:tcPr>
          <w:p w:rsidR="00BD3C02" w:rsidRDefault="00BD3C0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BD3C02" w:rsidRDefault="00BD3C02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BD3C02">
        <w:tc>
          <w:tcPr>
            <w:tcW w:w="2827" w:type="dxa"/>
            <w:vAlign w:val="center"/>
          </w:tcPr>
          <w:p w:rsidR="00BD3C02" w:rsidRDefault="00BD3C0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BD3C02" w:rsidRDefault="00BD3C02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D3C02">
        <w:tc>
          <w:tcPr>
            <w:tcW w:w="2827" w:type="dxa"/>
            <w:vAlign w:val="center"/>
          </w:tcPr>
          <w:p w:rsidR="00BD3C02" w:rsidRDefault="00BD3C02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BD3C02" w:rsidRDefault="00BD3C02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BD3C02">
        <w:tc>
          <w:tcPr>
            <w:tcW w:w="2827" w:type="dxa"/>
            <w:vAlign w:val="center"/>
          </w:tcPr>
          <w:p w:rsidR="00BD3C02" w:rsidRDefault="00BD3C02">
            <w:pPr>
              <w:pStyle w:val="ConsPlusNormal"/>
            </w:pPr>
            <w:r>
              <w:t xml:space="preserve">Межкультурное </w:t>
            </w:r>
            <w:r>
              <w:lastRenderedPageBreak/>
              <w:t>взаимодействие</w:t>
            </w:r>
          </w:p>
        </w:tc>
        <w:tc>
          <w:tcPr>
            <w:tcW w:w="6236" w:type="dxa"/>
            <w:vAlign w:val="center"/>
          </w:tcPr>
          <w:p w:rsidR="00BD3C02" w:rsidRDefault="00BD3C02">
            <w:pPr>
              <w:pStyle w:val="ConsPlusNormal"/>
              <w:jc w:val="both"/>
            </w:pPr>
            <w:r>
              <w:lastRenderedPageBreak/>
              <w:t xml:space="preserve">УК-5. Способен анализировать и учитывать разнообразие культур </w:t>
            </w:r>
            <w:r>
              <w:lastRenderedPageBreak/>
              <w:t>в процессе межкультурного взаимодействия</w:t>
            </w:r>
          </w:p>
        </w:tc>
      </w:tr>
      <w:tr w:rsidR="00BD3C02">
        <w:tc>
          <w:tcPr>
            <w:tcW w:w="2827" w:type="dxa"/>
            <w:vAlign w:val="center"/>
          </w:tcPr>
          <w:p w:rsidR="00BD3C02" w:rsidRDefault="00BD3C02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BD3C02" w:rsidRDefault="00BD3C02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ОПК-1. Способен формулировать цели и задачи исследования в области конструкторско-технологической подготовки машиностроительных производств, выявлять приоритеты решения задач, выбирать и создавать критерии оценки исследований;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ОПК-2. Способен разрабатывать современные методы исследования, оценивать и представлять результаты выполненной работы;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ОПК-3. Способен использовать современные информационно-коммуникационные технологии, глобальные информационные ресурсы в научно-исследовательской деятельности;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ОПК-4. Способен подготавливать научно-технические отчеты и обзоры по результатам выполненных исследований и проектно-конструкторских работ в области машиностроения;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ОПК-5. Способен организовывать и осуществлять профессиональную подготовку по образовательным программам в области машиностроения;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ОПК-6. Способен разрабатывать и применять алгоритмы и современные цифровые системы автоматизированного проектирования производственно-технологической документации машиностроительных производств;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ОПК-7. Способен организовывать подготовку заявок на изобретения и промышленные образцы в области конструкторско-технологической подготовки машиностроительных производств.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5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</w:t>
      </w:r>
      <w:r>
        <w:lastRenderedPageBreak/>
        <w:t>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</w:t>
      </w:r>
      <w:r>
        <w:lastRenderedPageBreak/>
        <w:t>полученное в иностранном государстве и признаваемое в Российской Федерации).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BD3C02" w:rsidRDefault="00BD3C02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</w:t>
      </w:r>
      <w:r>
        <w:lastRenderedPageBreak/>
        <w:t>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jc w:val="right"/>
        <w:outlineLvl w:val="1"/>
      </w:pPr>
      <w:r>
        <w:t>Приложение</w:t>
      </w:r>
    </w:p>
    <w:p w:rsidR="00BD3C02" w:rsidRDefault="00BD3C02">
      <w:pPr>
        <w:pStyle w:val="ConsPlusNormal"/>
        <w:jc w:val="right"/>
      </w:pPr>
      <w:r>
        <w:t>к федеральному государственному</w:t>
      </w:r>
    </w:p>
    <w:p w:rsidR="00BD3C02" w:rsidRDefault="00BD3C02">
      <w:pPr>
        <w:pStyle w:val="ConsPlusNormal"/>
        <w:jc w:val="right"/>
      </w:pPr>
      <w:r>
        <w:t>образовательному стандарту высшего</w:t>
      </w:r>
    </w:p>
    <w:p w:rsidR="00BD3C02" w:rsidRDefault="00BD3C02">
      <w:pPr>
        <w:pStyle w:val="ConsPlusNormal"/>
        <w:jc w:val="right"/>
      </w:pPr>
      <w:r>
        <w:t>образования - магистратура</w:t>
      </w:r>
    </w:p>
    <w:p w:rsidR="00BD3C02" w:rsidRDefault="00BD3C02">
      <w:pPr>
        <w:pStyle w:val="ConsPlusNormal"/>
        <w:jc w:val="right"/>
      </w:pPr>
      <w:r>
        <w:t>по направлению подготовки 15.04.05</w:t>
      </w:r>
    </w:p>
    <w:p w:rsidR="00BD3C02" w:rsidRDefault="00BD3C02">
      <w:pPr>
        <w:pStyle w:val="ConsPlusNormal"/>
        <w:jc w:val="right"/>
      </w:pPr>
      <w:r>
        <w:t>Конструкторско-технологическое</w:t>
      </w:r>
    </w:p>
    <w:p w:rsidR="00BD3C02" w:rsidRDefault="00BD3C02">
      <w:pPr>
        <w:pStyle w:val="ConsPlusNormal"/>
        <w:jc w:val="right"/>
      </w:pPr>
      <w:r>
        <w:t>обеспечение машиностроительных</w:t>
      </w:r>
    </w:p>
    <w:p w:rsidR="00BD3C02" w:rsidRDefault="00BD3C02">
      <w:pPr>
        <w:pStyle w:val="ConsPlusNormal"/>
        <w:jc w:val="right"/>
      </w:pPr>
      <w:r>
        <w:t>производств, утвержденному приказом</w:t>
      </w:r>
    </w:p>
    <w:p w:rsidR="00BD3C02" w:rsidRDefault="00BD3C02">
      <w:pPr>
        <w:pStyle w:val="ConsPlusNormal"/>
        <w:jc w:val="right"/>
      </w:pPr>
      <w:r>
        <w:t>Министерства науки и высшего</w:t>
      </w:r>
    </w:p>
    <w:p w:rsidR="00BD3C02" w:rsidRDefault="00BD3C02">
      <w:pPr>
        <w:pStyle w:val="ConsPlusNormal"/>
        <w:jc w:val="right"/>
      </w:pPr>
      <w:r>
        <w:t>образования Российской Федерации</w:t>
      </w:r>
    </w:p>
    <w:p w:rsidR="00BD3C02" w:rsidRDefault="00BD3C02">
      <w:pPr>
        <w:pStyle w:val="ConsPlusNormal"/>
        <w:jc w:val="right"/>
      </w:pPr>
      <w:r>
        <w:t>от 17 августа 2020 г. N 1045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Title"/>
        <w:jc w:val="center"/>
      </w:pPr>
      <w:bookmarkStart w:id="9" w:name="P246"/>
      <w:bookmarkEnd w:id="9"/>
      <w:r>
        <w:t>ПЕРЕЧЕНЬ</w:t>
      </w:r>
    </w:p>
    <w:p w:rsidR="00BD3C02" w:rsidRDefault="00BD3C02">
      <w:pPr>
        <w:pStyle w:val="ConsPlusTitle"/>
        <w:jc w:val="center"/>
      </w:pPr>
      <w:r>
        <w:t>ПРОФЕССИОНАЛЬНЫХ СТАНДАРТОВ, СООТВЕТСТВУЮЩИХ</w:t>
      </w:r>
    </w:p>
    <w:p w:rsidR="00BD3C02" w:rsidRDefault="00BD3C0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D3C02" w:rsidRDefault="00BD3C02">
      <w:pPr>
        <w:pStyle w:val="ConsPlusTitle"/>
        <w:jc w:val="center"/>
      </w:pPr>
      <w:r>
        <w:t>ПРОГРАММУ МАГИСТРАТУРЫ ПО НАПРАВЛЕНИЮ ПОДГОТОВКИ 15.04.05</w:t>
      </w:r>
    </w:p>
    <w:p w:rsidR="00BD3C02" w:rsidRDefault="00BD3C02">
      <w:pPr>
        <w:pStyle w:val="ConsPlusTitle"/>
        <w:jc w:val="center"/>
      </w:pPr>
      <w:r>
        <w:t>КОНСТРУКТОРСКО-ТЕХНОЛОГИЧЕСКОЕ ОБЕСПЕЧЕНИЕ</w:t>
      </w:r>
    </w:p>
    <w:p w:rsidR="00BD3C02" w:rsidRDefault="00BD3C02">
      <w:pPr>
        <w:pStyle w:val="ConsPlusTitle"/>
        <w:jc w:val="center"/>
      </w:pPr>
      <w:r>
        <w:t>МАШИНОСТРОИТЕЛЬНЫХ ПРОИЗВОДСТВ</w:t>
      </w: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sectPr w:rsidR="00BD3C02" w:rsidSect="006936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2275"/>
        <w:gridCol w:w="7315"/>
      </w:tblGrid>
      <w:tr w:rsidR="00BD3C02">
        <w:tc>
          <w:tcPr>
            <w:tcW w:w="557" w:type="dxa"/>
          </w:tcPr>
          <w:p w:rsidR="00BD3C02" w:rsidRDefault="00BD3C0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75" w:type="dxa"/>
          </w:tcPr>
          <w:p w:rsidR="00BD3C02" w:rsidRDefault="00BD3C0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15" w:type="dxa"/>
          </w:tcPr>
          <w:p w:rsidR="00BD3C02" w:rsidRDefault="00BD3C02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D3C02">
        <w:tc>
          <w:tcPr>
            <w:tcW w:w="10147" w:type="dxa"/>
            <w:gridSpan w:val="3"/>
            <w:vAlign w:val="bottom"/>
          </w:tcPr>
          <w:p w:rsidR="00BD3C02" w:rsidRDefault="00BD3C02">
            <w:pPr>
              <w:pStyle w:val="ConsPlusNormal"/>
              <w:jc w:val="center"/>
              <w:outlineLvl w:val="2"/>
            </w:pPr>
            <w:hyperlink r:id="rId19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28.006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оптимизации производственных процессов в тяжелом машиностроении", утвержденный приказом Министерства труда и социальной защиты Российской Федерации от 31 января 2017 г. N 104н (зарегистрирован Министерством юстиции Российской Федерации 15 февраля 2017 г., регистрационный N 45664)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28.007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оптимизации производственных процессов в станкостроении", утвержденный приказом Министерства труда и социальной защиты Российской Федерации от 31 января 2017 г. N 105н (зарегистрирован Министерством юстиции Российской Федерации 14 февраля 2017 г., регистрационный N 45637)</w:t>
            </w:r>
          </w:p>
        </w:tc>
      </w:tr>
      <w:tr w:rsidR="00BD3C02">
        <w:tc>
          <w:tcPr>
            <w:tcW w:w="10147" w:type="dxa"/>
            <w:gridSpan w:val="3"/>
            <w:vAlign w:val="center"/>
          </w:tcPr>
          <w:p w:rsidR="00BD3C02" w:rsidRDefault="00BD3C02">
            <w:pPr>
              <w:pStyle w:val="ConsPlusNormal"/>
              <w:jc w:val="center"/>
              <w:outlineLvl w:val="2"/>
            </w:pPr>
            <w:hyperlink r:id="rId23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40.013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40.014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технологиям заготовительного производства", утвержденный приказом Министерства труда и социальной защиты Российской Федерации от 11 апреля 2014 г. N 221н (зарегистрирован Министерством юстиции Российской Федерации 4 июня 2014 г., регистрационный N 32567),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40.031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технологиям механообрабатывающего производства в машиностроении", утвержденный приказом Министерства труда и социальной защиты Российской Федерации от 13 марта 2017 г. N 274н (зарегистрирован Министерством юстиции Российской Федерации 10 мая 2017 г., регистрационный N 46666)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40.052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40.069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11 декабря 2014 г. N 1025н (зарегистрирован Министерством юстиции Российской Федерации 29 декабря 2014 г., регистрационный N 35480)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40.073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нестандартного оборудования литейного производства", утвержденный приказом Министерства труда и социальной защиты Российской Федерации от 15 декабря 2014 г. N 1039н (зарегистрирован Министерством юстиции Российской Федерации 22 января 2015 г., регистрационный N 35632)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40.075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литейного производства", утвержденный приказом Министерства труда и социальной защиты Российской Федерации от 25 декабря 2014 г. N 1116н (зарегистрирован Министерством юстиции Российской Федерации 22 января 2015 г., регистрационный N 35636)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40.088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кузнечного производства", утвержденный приказом Министерства труда и социальной защиты Российской Федерации от 25 декабря 2014 г. N 1154н (зарегистрирован Министерством юстиции Российской Федерации 29 января 2015 г., регистрационный N 35770)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40.089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</w:t>
            </w:r>
            <w:r>
              <w:lastRenderedPageBreak/>
              <w:t>Министерством юстиции Российской Федерации 26 июля 2019 г., регистрационный N 55408)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40.090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40.100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40.139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электрохимическим и электрофизическим методам обработки материалов", утвержденный приказом Министерства труда и социальной защиты Российской Федерации 21 апреля 2016 г. N 194н (зарегистрирован Министерством юстиции Российской Федерации 16 мая 2016 г., регистрационный N 42105)</w:t>
            </w:r>
          </w:p>
        </w:tc>
      </w:tr>
      <w:tr w:rsidR="00BD3C02">
        <w:tc>
          <w:tcPr>
            <w:tcW w:w="557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75" w:type="dxa"/>
            <w:vAlign w:val="center"/>
          </w:tcPr>
          <w:p w:rsidR="00BD3C02" w:rsidRDefault="00BD3C02">
            <w:pPr>
              <w:pStyle w:val="ConsPlusNormal"/>
              <w:jc w:val="center"/>
            </w:pPr>
            <w:r>
              <w:t>40.152</w:t>
            </w:r>
          </w:p>
        </w:tc>
        <w:tc>
          <w:tcPr>
            <w:tcW w:w="7315" w:type="dxa"/>
            <w:vAlign w:val="bottom"/>
          </w:tcPr>
          <w:p w:rsidR="00BD3C02" w:rsidRDefault="00BD3C0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</w:tbl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jc w:val="both"/>
      </w:pPr>
    </w:p>
    <w:p w:rsidR="00BD3C02" w:rsidRDefault="00BD3C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D26" w:rsidRDefault="004A7D26">
      <w:bookmarkStart w:id="10" w:name="_GoBack"/>
      <w:bookmarkEnd w:id="10"/>
    </w:p>
    <w:sectPr w:rsidR="004A7D2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02"/>
    <w:rsid w:val="004A7D26"/>
    <w:rsid w:val="00B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B7BF0-CF74-4EEB-A2F8-F14FB31A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C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3C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3C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3AA2A9E7B6E1470910EBF57511A1EBE99D2AE6E4291EFA027AA74CE0AB029BE310D4313FFB8FD48F38D5087E5773705F3ADBFBDB4B4B7CFcAI" TargetMode="External"/><Relationship Id="rId13" Type="http://schemas.openxmlformats.org/officeDocument/2006/relationships/hyperlink" Target="consultantplus://offline/ref=E403AA2A9E7B6E1470910EBF57511A1EB899D2AF6D4491EFA027AA74CE0AB029BE310D4313FFB1F847F38D5087E5773705F3ADBFBDB4B4B7CFcAI" TargetMode="External"/><Relationship Id="rId18" Type="http://schemas.openxmlformats.org/officeDocument/2006/relationships/hyperlink" Target="consultantplus://offline/ref=E403AA2A9E7B6E1470910EBF57511A1EBE9BD1A06F4091EFA027AA74CE0AB029BE310D4313FFB9FD46F38D5087E5773705F3ADBFBDB4B4B7CFcAI" TargetMode="External"/><Relationship Id="rId26" Type="http://schemas.openxmlformats.org/officeDocument/2006/relationships/hyperlink" Target="consultantplus://offline/ref=E403AA2A9E7B6E1470910EBF57511A1EB899D7AD6E4391EFA027AA74CE0AB029BE310D4313FFB0F948F38D5087E5773705F3ADBFBDB4B4B7CFcAI" TargetMode="External"/><Relationship Id="rId39" Type="http://schemas.openxmlformats.org/officeDocument/2006/relationships/hyperlink" Target="consultantplus://offline/ref=E403AA2A9E7B6E1470910EBF57511A1EB899D5AD6E4391EFA027AA74CE0AB029BE310D4313FFB0F948F38D5087E5773705F3ADBFBDB4B4B7CFc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03AA2A9E7B6E1470910EBF57511A1EB899D5A9684291EFA027AA74CE0AB029BE310D4313FFB0F948F38D5087E5773705F3ADBFBDB4B4B7CFcAI" TargetMode="External"/><Relationship Id="rId34" Type="http://schemas.openxmlformats.org/officeDocument/2006/relationships/hyperlink" Target="consultantplus://offline/ref=E403AA2A9E7B6E1470910EBF57511A1EBB9BDEA16F4591EFA027AA74CE0AB029BE310D4313FFB0F948F38D5087E5773705F3ADBFBDB4B4B7CFcAI" TargetMode="External"/><Relationship Id="rId7" Type="http://schemas.openxmlformats.org/officeDocument/2006/relationships/hyperlink" Target="consultantplus://offline/ref=E403AA2A9E7B6E1470910EBF57511A1EBB91DEAD6D4591EFA027AA74CE0AB029BE310D4313FFB0F845F38D5087E5773705F3ADBFBDB4B4B7CFcAI" TargetMode="External"/><Relationship Id="rId12" Type="http://schemas.openxmlformats.org/officeDocument/2006/relationships/hyperlink" Target="consultantplus://offline/ref=E403AA2A9E7B6E1470910EBF57511A1EB899D2AF6D4491EFA027AA74CE0AB029BE310D4313FFB1F945F38D5087E5773705F3ADBFBDB4B4B7CFcAI" TargetMode="External"/><Relationship Id="rId17" Type="http://schemas.openxmlformats.org/officeDocument/2006/relationships/hyperlink" Target="consultantplus://offline/ref=E403AA2A9E7B6E1470910EBF57511A1EBE9AD4A0684191EFA027AA74CE0AB029AC31554F12F6AEF945E6DB01C1CBc3I" TargetMode="External"/><Relationship Id="rId25" Type="http://schemas.openxmlformats.org/officeDocument/2006/relationships/hyperlink" Target="consultantplus://offline/ref=E403AA2A9E7B6E1470910EBF57511A1EB899D0AD6B4591EFA027AA74CE0AB029BE310D4313FFB0F841F38D5087E5773705F3ADBFBDB4B4B7CFcAI" TargetMode="External"/><Relationship Id="rId33" Type="http://schemas.openxmlformats.org/officeDocument/2006/relationships/hyperlink" Target="consultantplus://offline/ref=E403AA2A9E7B6E1470910EBF57511A1EB99BD6AF6D4591EFA027AA74CE0AB029BE310D4313FFB0F840F38D5087E5773705F3ADBFBDB4B4B7CFcAI" TargetMode="External"/><Relationship Id="rId38" Type="http://schemas.openxmlformats.org/officeDocument/2006/relationships/hyperlink" Target="consultantplus://offline/ref=E403AA2A9E7B6E1470910EBF57511A1EBB91DEA86D4C91EFA027AA74CE0AB029BE310D4313FFB0F948F38D5087E5773705F3ADBFBDB4B4B7CFc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03AA2A9E7B6E1470910EBF57511A1EBE9BD0A06F4C91EFA027AA74CE0AB029AC31554F12F6AEF945E6DB01C1CBc3I" TargetMode="External"/><Relationship Id="rId20" Type="http://schemas.openxmlformats.org/officeDocument/2006/relationships/hyperlink" Target="consultantplus://offline/ref=E403AA2A9E7B6E1470910EBF57511A1EB99BD7AF694091EFA027AA74CE0AB029BE310D4313FFB0F841F38D5087E5773705F3ADBFBDB4B4B7CFcAI" TargetMode="External"/><Relationship Id="rId29" Type="http://schemas.openxmlformats.org/officeDocument/2006/relationships/hyperlink" Target="consultantplus://offline/ref=E403AA2A9E7B6E1470910EBF57511A1EB99BD6AC6A4791EFA027AA74CE0AB029BE310D4313FFB0F840F38D5087E5773705F3ADBFBDB4B4B7CFcA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3AA2A9E7B6E1470910EBF57511A1EB991DFAB6B4691EFA027AA74CE0AB029BE310D4313FFB0FE43F38D5087E5773705F3ADBFBDB4B4B7CFcAI" TargetMode="External"/><Relationship Id="rId11" Type="http://schemas.openxmlformats.org/officeDocument/2006/relationships/hyperlink" Target="consultantplus://offline/ref=E403AA2A9E7B6E1470910EBF57511A1EB899D2AF6D4491EFA027AA74CE0AB029BE310D4313FFB0FC41F38D5087E5773705F3ADBFBDB4B4B7CFcAI" TargetMode="External"/><Relationship Id="rId24" Type="http://schemas.openxmlformats.org/officeDocument/2006/relationships/hyperlink" Target="consultantplus://offline/ref=E403AA2A9E7B6E1470910EBF57511A1EB899D7AD6D4491EFA027AA74CE0AB029BE310D4313FFB0F948F38D5087E5773705F3ADBFBDB4B4B7CFcAI" TargetMode="External"/><Relationship Id="rId32" Type="http://schemas.openxmlformats.org/officeDocument/2006/relationships/hyperlink" Target="consultantplus://offline/ref=E403AA2A9E7B6E1470910EBF57511A1EBB9FD2AD6A4791EFA027AA74CE0AB029BE310D4313FFB0F948F38D5087E5773705F3ADBFBDB4B4B7CFcAI" TargetMode="External"/><Relationship Id="rId37" Type="http://schemas.openxmlformats.org/officeDocument/2006/relationships/hyperlink" Target="consultantplus://offline/ref=E403AA2A9E7B6E1470910EBF57511A1EB891D1A1684391EFA027AA74CE0AB029BE310D4313FFB0F841F38D5087E5773705F3ADBFBDB4B4B7CFcA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403AA2A9E7B6E1470910EBF57511A1EBE9BDEAC6A4691EFA027AA74CE0AB029BE310D4313FFB0FC48F38D5087E5773705F3ADBFBDB4B4B7CFcAI" TargetMode="External"/><Relationship Id="rId15" Type="http://schemas.openxmlformats.org/officeDocument/2006/relationships/hyperlink" Target="consultantplus://offline/ref=E403AA2A9E7B6E1470910EBF57511A1EBB9CD0A1684491EFA027AA74CE0AB029AC31554F12F6AEF945E6DB01C1CBc3I" TargetMode="External"/><Relationship Id="rId23" Type="http://schemas.openxmlformats.org/officeDocument/2006/relationships/hyperlink" Target="consultantplus://offline/ref=E403AA2A9E7B6E1470910EBF57511A1EB899D2AF6D4491EFA027AA74CE0AB029BE310D4313FFB1F847F38D5087E5773705F3ADBFBDB4B4B7CFcAI" TargetMode="External"/><Relationship Id="rId28" Type="http://schemas.openxmlformats.org/officeDocument/2006/relationships/hyperlink" Target="consultantplus://offline/ref=E403AA2A9E7B6E1470910EBF57511A1EB899D0AE6C4391EFA027AA74CE0AB029BE310D4313FFB0F841F38D5087E5773705F3ADBFBDB4B4B7CFcAI" TargetMode="External"/><Relationship Id="rId36" Type="http://schemas.openxmlformats.org/officeDocument/2006/relationships/hyperlink" Target="consultantplus://offline/ref=E403AA2A9E7B6E1470910EBF57511A1EB99BD7AB6C4391EFA027AA74CE0AB029BE310D4313FFB0F841F38D5087E5773705F3ADBFBDB4B4B7CFcAI" TargetMode="External"/><Relationship Id="rId10" Type="http://schemas.openxmlformats.org/officeDocument/2006/relationships/hyperlink" Target="consultantplus://offline/ref=E403AA2A9E7B6E1470910EBF57511A1EB899D2AF6D4491EFA027AA74CE0AB029BE310D4313FFB0FD46F38D5087E5773705F3ADBFBDB4B4B7CFcAI" TargetMode="External"/><Relationship Id="rId19" Type="http://schemas.openxmlformats.org/officeDocument/2006/relationships/hyperlink" Target="consultantplus://offline/ref=E403AA2A9E7B6E1470910EBF57511A1EB899D2AF6D4491EFA027AA74CE0AB029BE310D4313FFB1F945F38D5087E5773705F3ADBFBDB4B4B7CFcAI" TargetMode="External"/><Relationship Id="rId31" Type="http://schemas.openxmlformats.org/officeDocument/2006/relationships/hyperlink" Target="consultantplus://offline/ref=E403AA2A9E7B6E1470910EBF57511A1EBB9BDEA16F4791EFA027AA74CE0AB029BE310D4313FFB0F948F38D5087E5773705F3ADBFBDB4B4B7CFc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03AA2A9E7B6E1470910EBF57511A1EBE9CD6A86D4491EFA027AA74CE0AB029BE310D4313FFB2FD48F38D5087E5773705F3ADBFBDB4B4B7CFcAI" TargetMode="External"/><Relationship Id="rId14" Type="http://schemas.openxmlformats.org/officeDocument/2006/relationships/hyperlink" Target="consultantplus://offline/ref=E403AA2A9E7B6E1470910EBF57511A1EB899D2AF6D4491EFA027AA74CE0AB029BE310D4313FFB0F947F38D5087E5773705F3ADBFBDB4B4B7CFcAI" TargetMode="External"/><Relationship Id="rId22" Type="http://schemas.openxmlformats.org/officeDocument/2006/relationships/hyperlink" Target="consultantplus://offline/ref=E403AA2A9E7B6E1470910EBF57511A1EB899D4A16A4191EFA027AA74CE0AB029BE310D4313FFB0F948F38D5087E5773705F3ADBFBDB4B4B7CFcAI" TargetMode="External"/><Relationship Id="rId27" Type="http://schemas.openxmlformats.org/officeDocument/2006/relationships/hyperlink" Target="consultantplus://offline/ref=E403AA2A9E7B6E1470910EBF57511A1EB899D0AE6C4291EFA027AA74CE0AB029BE310D4313FFB0F841F38D5087E5773705F3ADBFBDB4B4B7CFcAI" TargetMode="External"/><Relationship Id="rId30" Type="http://schemas.openxmlformats.org/officeDocument/2006/relationships/hyperlink" Target="consultantplus://offline/ref=E403AA2A9E7B6E1470910EBF57511A1EBB9FD2AD6B4D91EFA027AA74CE0AB029BE310D4313FFB0F948F38D5087E5773705F3ADBFBDB4B4B7CFcAI" TargetMode="External"/><Relationship Id="rId35" Type="http://schemas.openxmlformats.org/officeDocument/2006/relationships/hyperlink" Target="consultantplus://offline/ref=E403AA2A9E7B6E1470910EBF57511A1EB99BD6AB6C4D91EFA027AA74CE0AB029BE310D4313FFB0F841F38D5087E5773705F3ADBFBDB4B4B7CF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6570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2023-04-19T08:27:00Z</dcterms:created>
  <dcterms:modified xsi:type="dcterms:W3CDTF">2023-04-19T08:28:00Z</dcterms:modified>
</cp:coreProperties>
</file>